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46" w:rsidRPr="00D816CF" w:rsidRDefault="00083046" w:rsidP="00083046">
      <w:pPr>
        <w:spacing w:after="0" w:line="240" w:lineRule="auto"/>
        <w:jc w:val="center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083046">
        <w:rPr>
          <w:rFonts w:ascii="Helvetica" w:eastAsia="Times New Roman" w:hAnsi="Helvetica" w:cs="Times New Roman"/>
          <w:b/>
          <w:color w:val="000000"/>
          <w:sz w:val="26"/>
          <w:szCs w:val="26"/>
          <w:lang w:eastAsia="ru-RU"/>
        </w:rPr>
        <w:t>Необходимое оборудование и его стоимость</w:t>
      </w:r>
      <w:r w:rsidRPr="00083046">
        <w:rPr>
          <w:rFonts w:ascii="Helvetica" w:eastAsia="Times New Roman" w:hAnsi="Helvetica" w:cs="Times New Roman"/>
          <w:b/>
          <w:color w:val="000000"/>
          <w:sz w:val="26"/>
          <w:szCs w:val="26"/>
          <w:lang w:eastAsia="ru-RU"/>
        </w:rPr>
        <w:br/>
      </w:r>
      <w:r>
        <w:rPr>
          <w:rFonts w:eastAsia="Times New Roman" w:cs="Times New Roman"/>
          <w:color w:val="000000"/>
          <w:sz w:val="26"/>
          <w:szCs w:val="26"/>
          <w:lang w:eastAsia="ru-RU"/>
        </w:rPr>
        <w:t>1- т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рибуна; 2-флагштоки; 3- стенды с рисунками из строевого устава</w:t>
      </w:r>
    </w:p>
    <w:p w:rsidR="00083046" w:rsidRPr="00D816CF" w:rsidRDefault="00083046" w:rsidP="00083046">
      <w:pPr>
        <w:shd w:val="clear" w:color="auto" w:fill="FFFFFF"/>
        <w:spacing w:before="300" w:after="30" w:line="360" w:lineRule="atLeast"/>
        <w:textAlignment w:val="baseline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  <w:lang w:eastAsia="ru-RU"/>
        </w:rPr>
      </w:pPr>
      <w:r w:rsidRPr="00D816CF">
        <w:rPr>
          <w:rFonts w:ascii="Helvetica" w:eastAsia="Times New Roman" w:hAnsi="Helvetica" w:cs="Times New Roman"/>
          <w:b/>
          <w:bCs/>
          <w:color w:val="000000"/>
          <w:sz w:val="27"/>
          <w:szCs w:val="27"/>
          <w:lang w:eastAsia="ru-RU"/>
        </w:rPr>
        <w:t>Стенды/плакаты строевой плац: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1. Выполнение воинского приветствия, выход из строя и во</w:t>
      </w:r>
      <w:bookmarkStart w:id="0" w:name="_GoBack"/>
      <w:bookmarkEnd w:id="0"/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звращение в строй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br/>
        <w:t>2. Обязанности командиров и военнослужащих перед построением в и строю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br/>
        <w:t>3. Развернутый и походный строй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br/>
        <w:t>4. Строевые приемы и движение без оружия и с оружием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br/>
        <w:t>5. Оценка одиночной строевой подготовки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br/>
        <w:t>6. Выполнение воинского приветствия в строю на месте и в движении</w:t>
      </w: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br/>
        <w:t>7. Строй и его элементы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Размер стендов: 250х150 см.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Уличная конструкция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Уличная конструкция изготавливается из стальной профильной трубы 60х40х2 мм. Покраска грунт-эмалью серого цвета. Каркас стенда – сборно-разборная конструкция. На каркас информационного поля и вертикальные стойки навариваются специальные «уши», соединяющиеся между собой при помощи болтов, соответствующих гаек и шайб.</w:t>
      </w:r>
    </w:p>
    <w:p w:rsidR="00083046" w:rsidRPr="00D816CF" w:rsidRDefault="00083046" w:rsidP="0008304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Лицевые панели стенда – </w:t>
      </w:r>
      <w:hyperlink r:id="rId4" w:tooltip="Алюминий" w:history="1">
        <w:r w:rsidRPr="00D816CF">
          <w:rPr>
            <w:rFonts w:ascii="Helvetica" w:eastAsia="Times New Roman" w:hAnsi="Helvetica" w:cs="Times New Roman"/>
            <w:color w:val="0066CC"/>
            <w:sz w:val="26"/>
            <w:szCs w:val="26"/>
            <w:u w:val="single"/>
            <w:bdr w:val="none" w:sz="0" w:space="0" w:color="auto" w:frame="1"/>
            <w:lang w:eastAsia="ru-RU"/>
          </w:rPr>
          <w:t>алюминиевая</w:t>
        </w:r>
      </w:hyperlink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 композитная панель, толщиной 3 мм. Размер: 250х150 см. Информационное поле (изображение): полноцветная печать (устойчива к </w:t>
      </w:r>
      <w:hyperlink r:id="rId5" w:tooltip="Влажность" w:history="1">
        <w:r w:rsidRPr="00D816CF">
          <w:rPr>
            <w:rFonts w:ascii="Helvetica" w:eastAsia="Times New Roman" w:hAnsi="Helvetica" w:cs="Times New Roman"/>
            <w:color w:val="0066CC"/>
            <w:sz w:val="26"/>
            <w:szCs w:val="26"/>
            <w:u w:val="single"/>
            <w:bdr w:val="none" w:sz="0" w:space="0" w:color="auto" w:frame="1"/>
            <w:lang w:eastAsia="ru-RU"/>
          </w:rPr>
          <w:t>влажности</w:t>
        </w:r>
      </w:hyperlink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 xml:space="preserve"> и УФ-излучению) на белой матовой самоклеящейся пленке 80 мкм, </w:t>
      </w:r>
      <w:proofErr w:type="spellStart"/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ламинирование</w:t>
      </w:r>
      <w:proofErr w:type="spellEnd"/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 xml:space="preserve"> изображения прозрачной матовой самоклеящейся пленкой 80 мкм.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На стенд может быть установлено зеркало 65х120 см, толщиной 3-4мм, обработка кромки – фацет 5-10мм. Крепление стекла к стенду при помощи специальных держателей.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ЦЕНА одной двухсторонней уличной конструкции: 55000 руб.</w:t>
      </w:r>
    </w:p>
    <w:p w:rsidR="00083046" w:rsidRPr="00D816CF" w:rsidRDefault="00083046" w:rsidP="00083046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</w:pPr>
      <w:r w:rsidRPr="00D816CF">
        <w:rPr>
          <w:rFonts w:ascii="Helvetica" w:eastAsia="Times New Roman" w:hAnsi="Helvetica" w:cs="Times New Roman"/>
          <w:color w:val="000000"/>
          <w:sz w:val="26"/>
          <w:szCs w:val="26"/>
          <w:lang w:eastAsia="ru-RU"/>
        </w:rPr>
        <w:t>Итого: 385000 руб.</w:t>
      </w:r>
    </w:p>
    <w:p w:rsidR="00083046" w:rsidRDefault="00083046" w:rsidP="00083046"/>
    <w:p w:rsidR="009200E1" w:rsidRDefault="009200E1"/>
    <w:sectPr w:rsidR="00920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09"/>
    <w:rsid w:val="00083046"/>
    <w:rsid w:val="009200E1"/>
    <w:rsid w:val="00A5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4EBF"/>
  <w15:chartTrackingRefBased/>
  <w15:docId w15:val="{8674E489-4A50-4686-BD06-E083E50F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vlazhnostmz/" TargetMode="External"/><Relationship Id="rId4" Type="http://schemas.openxmlformats.org/officeDocument/2006/relationships/hyperlink" Target="http://www.pandia.ru/text/category/alyumi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2023-12-20T10:04:00Z</dcterms:created>
  <dcterms:modified xsi:type="dcterms:W3CDTF">2023-12-20T10:04:00Z</dcterms:modified>
</cp:coreProperties>
</file>